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413" w:h="14543" w:hRule="exact" w:wrap="none" w:vAnchor="page" w:hAnchor="page" w:x="1669" w:y="111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Масштабное распространение экстремистских взглядов представляет серьезную угрозу для развития любого современного государства, так как посредством соответствующей идеологии поддерживается и ресурсно обеспечивается применение разнообразных насильственных методов в различных сферах жизнедеятельности общества. Экстремизм как социальное явление динамично развивается соразмерно государственной практике отдельных стран, о чем свидетельствует изощренность совершаемых правонарушений и преступлений вышеназванной направленности.</w:t>
      </w:r>
    </w:p>
    <w:p>
      <w:pPr>
        <w:pStyle w:val="Style3"/>
        <w:framePr w:w="9413" w:h="14543" w:hRule="exact" w:wrap="none" w:vAnchor="page" w:hAnchor="page" w:x="1669" w:y="111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Борьба с проявлениями экстремизма в настоящее время осуществляется целым рядом общих и специальных механизмов, которые реализуются на основе соответствующих международных и внутригосударственных нормативно-правовых актов. Для Российской Федерации, в частности, комплексный подход к противодействию экстремизму обеспечивается за счет сочетания профилактико-предупредительной деятельности и функционирования правоохранительных органов непосредственно в рамках выявления и пресечения противоправного поведения указанной направленности. В данном контексте представляется необходимым подчеркнуть принципиальное значение профилактико-предупредительной деятельности и ее эффективности, так как в случае достижения высоких результатов в указанной области существенно снижается потребность в выявлении правонарушений и преступлений.</w:t>
      </w:r>
    </w:p>
    <w:p>
      <w:pPr>
        <w:pStyle w:val="Style3"/>
        <w:framePr w:w="9413" w:h="14543" w:hRule="exact" w:wrap="none" w:vAnchor="page" w:hAnchor="page" w:x="1669" w:y="111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качестве специальных административно-правовых норм в данном контексте следует отметить: ст. 20.3 Кодекса Российской Федерации об административных правонарушениях (далее - КоАП РФ), регламентирующую ответственность за пропаганду либо публичное демонстрирование нацистской, экстремистской и иной законодательно запрещенной атрибутики или символики; ст. 20.3.1 КоАП РФ, предусматривающую правовые последствия за возбуждение ненависти либо вражды, а равно унижение человеческого достоинства; ст. 20.3.2 КоАП РФ, определяющую особенности привлечения к административной ответственности за публичные призывы к осуществлению действий, направленных на нарушение территориальной целостности Российской Федерации; ст. 20.29 КоАП РФ, закрепляющую ответственность за производство и распространение экстремистских материалов. Указанные противоправные деяния российский законодатель совершенно справедливо относит к административным правонарушениям, посягающим на общественный порядок и общественную безопасность. Составы вышеназванных административных правонарушений напрямую определяются содержанием категории "экстремистская деятельность", определенной в Федеральном законе "О противодействии экстремистской деятельности".</w:t>
      </w:r>
    </w:p>
    <w:p>
      <w:pPr>
        <w:pStyle w:val="Style3"/>
        <w:framePr w:w="9413" w:h="14543" w:hRule="exact" w:wrap="none" w:vAnchor="page" w:hAnchor="page" w:x="1669" w:y="111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рамках выделения специальных административно-правовых норм, регламентирующих ответственность за проявления экстремизма, следует также выделить ст. 13.37 КоАП РФ, которая определяет санкции за распространение владельцем аудиовизуального сервиса информации экстремистского содержания. Вышеназванная статья имеет принципиальное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413" w:h="11970" w:hRule="exact" w:wrap="none" w:vAnchor="page" w:hAnchor="page" w:x="1669" w:y="111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значение для борьбы с распространением экстремистских проявлений в условиях развития информационного общества в России. Кроме того, весьма справедливым представляется объединение в рамках указанной административно-правовой нормы правонарушений экстремистской и террористической направленности, так как они тесно связаны друг с другом по идеологической сущности.</w:t>
      </w:r>
    </w:p>
    <w:p>
      <w:pPr>
        <w:pStyle w:val="Style3"/>
        <w:framePr w:w="9413" w:h="11970" w:hRule="exact" w:wrap="none" w:vAnchor="page" w:hAnchor="page" w:x="1669" w:y="111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Помимо вышеназванных административно-правовых норм, представляется необходимым отметить, что противоправное поведение экстремистской направленности также может быть сопряжено со злоупотреблением свободой массовой информации. Статья 13.15 КоАП РФ предусматривает в качестве одной из форм совершения соответствующего правонарушения распространение сведений об общественном объединении или иной организации, деятельность которых запрещена в соответствии с требованиями Федерального закона от 25 июля 2002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114-ФЗ "О противодействии экстремистской деятельности", включенных в соответствующий перечень</w:t>
      </w:r>
    </w:p>
    <w:p>
      <w:pPr>
        <w:pStyle w:val="Style3"/>
        <w:framePr w:w="9413" w:h="11970" w:hRule="exact" w:wrap="none" w:vAnchor="page" w:hAnchor="page" w:x="1669" w:y="111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граждан в качестве наиболее существенных наказаний предусмотрены обязательные работы и административный арест, которые встречаются гораздо реже в санкциях вышеназванных административно</w:t>
        <w:softHyphen/>
        <w:t>правовых норм. Подобный подход российского законодателя вероятнее всего связан с ориентацией на осознание противоправности поведения виновными лицами посредством материальных потерь, однако не всегда ограниченность мер наказания административным штрафом представляется справедливой в контексте общественной опасности распространения экстремистских взглядов. В случае наказания в виде административного штрафа конкретное лицо ощущает последствия в виде финансовых потерь, однако масштаб его противоправного влияния от этого не изменяется.</w:t>
      </w:r>
    </w:p>
    <w:p>
      <w:pPr>
        <w:pStyle w:val="Style3"/>
        <w:framePr w:w="9413" w:h="11970" w:hRule="exact" w:wrap="none" w:vAnchor="page" w:hAnchor="page" w:x="1669" w:y="111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юридических лиц в качестве наиболее сурового наказания предусмотрено административное приостановление деятельности, но указанная мера закреплена лишь в отношении производства и распространения экстремистских материалов и не встречается в других административно-правовых нормах, регламентирующих ответственность за правонарушения экстремистской направленности. Безусловно, указанное правонарушение представляет особую общественную опасность в случае его совершения юридическими лицами, однако столь исключительный подход российского законодателя представляется весьма ограничивающим потенциал института юридической ответственности.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both"/>
      <w:spacing w:line="32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Хохлов Павел Вячеславович</dc:creator>
  <cp:keywords/>
</cp:coreProperties>
</file>